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新宋体" w:hAnsi="新宋体" w:eastAsia="新宋体"/>
          <w:b/>
          <w:color w:val="000000"/>
          <w:sz w:val="32"/>
        </w:rPr>
      </w:pPr>
      <w:r>
        <w:rPr>
          <w:rFonts w:hint="eastAsia" w:ascii="新宋体" w:hAnsi="新宋体" w:eastAsia="新宋体"/>
          <w:b/>
          <w:color w:val="000000"/>
          <w:sz w:val="32"/>
        </w:rPr>
        <w:t>关于举办检验检测机构资质认定/实验室认可内审、管理评审、监督等问题解析实训班的通知</w:t>
      </w:r>
    </w:p>
    <w:p>
      <w:pPr>
        <w:rPr>
          <w:rFonts w:hint="eastAsia" w:ascii="新宋体" w:hAnsi="新宋体" w:eastAsia="新宋体" w:cs="仿宋"/>
          <w:color w:val="000000"/>
          <w:sz w:val="24"/>
          <w:szCs w:val="32"/>
        </w:rPr>
      </w:pPr>
      <w:r>
        <w:rPr>
          <w:rFonts w:hint="eastAsia" w:ascii="新宋体" w:hAnsi="新宋体" w:eastAsia="新宋体"/>
          <w:color w:val="000000"/>
          <w:sz w:val="24"/>
        </w:rPr>
        <w:t>一、</w:t>
      </w:r>
      <w:r>
        <w:rPr>
          <w:rFonts w:hint="eastAsia" w:ascii="新宋体" w:hAnsi="新宋体" w:eastAsia="新宋体"/>
          <w:b/>
          <w:color w:val="000000"/>
          <w:sz w:val="24"/>
        </w:rPr>
        <w:t>培训内容：</w:t>
      </w:r>
      <w:r>
        <w:rPr>
          <w:rFonts w:hint="eastAsia" w:ascii="新宋体" w:hAnsi="新宋体" w:eastAsia="新宋体" w:cs="仿宋"/>
          <w:b/>
          <w:color w:val="000000"/>
          <w:sz w:val="24"/>
          <w:szCs w:val="32"/>
        </w:rPr>
        <w:t xml:space="preserve"> </w:t>
      </w:r>
    </w:p>
    <w:p>
      <w:pPr>
        <w:ind w:firstLine="465"/>
        <w:rPr>
          <w:rFonts w:hint="eastAsia" w:ascii="宋体" w:hAnsi="宋体" w:cs="宋体"/>
          <w:bCs/>
          <w:sz w:val="24"/>
        </w:rPr>
      </w:pPr>
      <w:r>
        <w:rPr>
          <w:rFonts w:hint="eastAsia" w:ascii="宋体" w:hAnsi="宋体" w:cs="宋体"/>
          <w:color w:val="000000"/>
          <w:sz w:val="24"/>
        </w:rPr>
        <w:t>1、《检验检测机构资质认定能力评价检验检测机构通用要求》RB/T 214—2017新标准</w:t>
      </w:r>
      <w:r>
        <w:rPr>
          <w:rFonts w:hint="eastAsia" w:ascii="宋体" w:hAnsi="宋体" w:cs="宋体"/>
          <w:bCs/>
          <w:sz w:val="24"/>
        </w:rPr>
        <w:t>解读与转版；</w:t>
      </w:r>
    </w:p>
    <w:p>
      <w:pPr>
        <w:ind w:firstLine="465"/>
        <w:rPr>
          <w:rFonts w:hint="eastAsia" w:ascii="宋体" w:hAnsi="宋体" w:cs="宋体"/>
          <w:color w:val="000000"/>
          <w:sz w:val="24"/>
        </w:rPr>
      </w:pPr>
      <w:r>
        <w:rPr>
          <w:rFonts w:hint="eastAsia" w:ascii="宋体" w:hAnsi="宋体" w:cs="宋体"/>
          <w:bCs/>
          <w:sz w:val="24"/>
        </w:rPr>
        <w:t>2、</w:t>
      </w:r>
      <w:r>
        <w:rPr>
          <w:rFonts w:hint="eastAsia" w:ascii="新宋体" w:hAnsi="新宋体" w:eastAsia="新宋体"/>
          <w:color w:val="000000"/>
          <w:sz w:val="24"/>
        </w:rPr>
        <w:t>《检测和校准实验室能力认可准则》CNAS-CL01:2018标准变化及解读；</w:t>
      </w:r>
    </w:p>
    <w:p>
      <w:pPr>
        <w:spacing w:line="400" w:lineRule="exact"/>
        <w:ind w:firstLine="480" w:firstLineChars="200"/>
        <w:rPr>
          <w:rFonts w:hint="eastAsia" w:ascii="宋体" w:hAnsi="宋体" w:cs="宋体"/>
          <w:color w:val="000000"/>
          <w:sz w:val="24"/>
        </w:rPr>
      </w:pPr>
      <w:r>
        <w:rPr>
          <w:rFonts w:hint="eastAsia" w:ascii="宋体" w:hAnsi="宋体" w:cs="宋体"/>
          <w:bCs/>
          <w:sz w:val="24"/>
        </w:rPr>
        <w:t>3、</w:t>
      </w:r>
      <w:r>
        <w:rPr>
          <w:rFonts w:hint="eastAsia" w:ascii="宋体" w:hAnsi="宋体" w:cs="宋体"/>
          <w:color w:val="000000"/>
          <w:sz w:val="24"/>
        </w:rPr>
        <w:t>实验室内部审核的策划、实施等</w:t>
      </w:r>
      <w:r>
        <w:rPr>
          <w:rFonts w:hint="eastAsia" w:ascii="宋体" w:hAnsi="宋体" w:cs="宋体"/>
          <w:bCs/>
          <w:sz w:val="24"/>
        </w:rPr>
        <w:t>工作程序与常见问题</w:t>
      </w:r>
      <w:r>
        <w:rPr>
          <w:rFonts w:hint="eastAsia" w:ascii="宋体" w:hAnsi="宋体" w:cs="宋体"/>
          <w:color w:val="000000"/>
          <w:sz w:val="24"/>
        </w:rPr>
        <w:t>（内审计划、检查表、不符合项报告、内审总结报告）；</w:t>
      </w:r>
    </w:p>
    <w:p>
      <w:pPr>
        <w:spacing w:line="400" w:lineRule="exact"/>
        <w:ind w:firstLine="480" w:firstLineChars="200"/>
        <w:rPr>
          <w:rFonts w:hint="eastAsia" w:ascii="宋体" w:hAnsi="宋体" w:cs="宋体"/>
          <w:color w:val="000000"/>
          <w:sz w:val="24"/>
        </w:rPr>
      </w:pPr>
      <w:r>
        <w:rPr>
          <w:rFonts w:hint="eastAsia" w:ascii="宋体" w:hAnsi="宋体" w:cs="宋体"/>
          <w:bCs/>
          <w:sz w:val="24"/>
        </w:rPr>
        <w:t>4、</w:t>
      </w:r>
      <w:r>
        <w:rPr>
          <w:rFonts w:hint="eastAsia" w:ascii="宋体" w:hAnsi="宋体" w:cs="宋体"/>
          <w:color w:val="000000"/>
          <w:sz w:val="24"/>
        </w:rPr>
        <w:t>管理评审</w:t>
      </w:r>
      <w:r>
        <w:rPr>
          <w:rFonts w:hint="eastAsia" w:ascii="宋体" w:hAnsi="宋体" w:cs="宋体"/>
          <w:bCs/>
          <w:sz w:val="24"/>
        </w:rPr>
        <w:t>工作程序与常见问题</w:t>
      </w:r>
      <w:r>
        <w:rPr>
          <w:rFonts w:hint="eastAsia" w:ascii="宋体" w:hAnsi="宋体" w:cs="宋体"/>
          <w:color w:val="000000"/>
          <w:sz w:val="24"/>
        </w:rPr>
        <w:t>（评审计划、评审输入、改进和管理评审报告等）；</w:t>
      </w:r>
    </w:p>
    <w:p>
      <w:pPr>
        <w:spacing w:line="400" w:lineRule="exact"/>
        <w:ind w:firstLine="480" w:firstLineChars="200"/>
        <w:rPr>
          <w:rFonts w:hint="eastAsia" w:ascii="宋体" w:hAnsi="宋体" w:cs="宋体"/>
          <w:bCs/>
          <w:sz w:val="24"/>
        </w:rPr>
      </w:pPr>
      <w:r>
        <w:rPr>
          <w:rFonts w:hint="eastAsia" w:ascii="宋体" w:hAnsi="宋体" w:cs="宋体"/>
          <w:color w:val="000000"/>
          <w:sz w:val="24"/>
        </w:rPr>
        <w:t>5、实验室申请认证认可、监督,复评审前应做的准备和评审过程中的问题解答</w:t>
      </w:r>
      <w:r>
        <w:rPr>
          <w:rFonts w:hint="eastAsia" w:ascii="宋体" w:hAnsi="宋体" w:cs="宋体"/>
          <w:bCs/>
          <w:sz w:val="24"/>
        </w:rPr>
        <w:t>与常见问题；</w:t>
      </w:r>
    </w:p>
    <w:p>
      <w:pPr>
        <w:spacing w:line="400" w:lineRule="exact"/>
        <w:ind w:firstLine="480" w:firstLineChars="200"/>
        <w:rPr>
          <w:rFonts w:hint="eastAsia" w:ascii="宋体" w:hAnsi="宋体" w:cs="宋体"/>
          <w:bCs/>
          <w:sz w:val="24"/>
        </w:rPr>
      </w:pPr>
      <w:r>
        <w:rPr>
          <w:rFonts w:hint="eastAsia" w:ascii="宋体" w:hAnsi="宋体" w:cs="宋体"/>
          <w:bCs/>
          <w:sz w:val="24"/>
        </w:rPr>
        <w:t>6、相关质量记录表格的编制、填写注意事项；</w:t>
      </w:r>
    </w:p>
    <w:p>
      <w:pPr>
        <w:spacing w:line="400" w:lineRule="exact"/>
        <w:ind w:firstLine="480" w:firstLineChars="200"/>
        <w:rPr>
          <w:rFonts w:hint="eastAsia" w:ascii="宋体" w:hAnsi="宋体" w:cs="宋体"/>
          <w:bCs/>
          <w:sz w:val="24"/>
        </w:rPr>
      </w:pPr>
      <w:r>
        <w:rPr>
          <w:rFonts w:hint="eastAsia" w:ascii="宋体" w:hAnsi="宋体" w:cs="宋体"/>
          <w:bCs/>
          <w:sz w:val="24"/>
        </w:rPr>
        <w:t xml:space="preserve">7、资质认定管理填报资料、报表常见问题； </w:t>
      </w:r>
    </w:p>
    <w:p>
      <w:pPr>
        <w:ind w:firstLine="480" w:firstLineChars="200"/>
        <w:rPr>
          <w:rFonts w:hint="eastAsia" w:ascii="宋体" w:hAnsi="宋体" w:cs="宋体"/>
          <w:color w:val="000000"/>
          <w:sz w:val="24"/>
        </w:rPr>
      </w:pPr>
      <w:r>
        <w:rPr>
          <w:rFonts w:hint="eastAsia" w:ascii="宋体" w:hAnsi="宋体" w:cs="宋体"/>
          <w:color w:val="000000"/>
          <w:sz w:val="24"/>
        </w:rPr>
        <w:t>8、体系运行如何识别、评估、控制风险，如何满足风险条款的要求；</w:t>
      </w:r>
    </w:p>
    <w:p>
      <w:pPr>
        <w:ind w:firstLine="480" w:firstLineChars="200"/>
        <w:rPr>
          <w:rFonts w:hint="eastAsia" w:ascii="宋体" w:hAnsi="宋体" w:cs="宋体"/>
          <w:color w:val="000000"/>
          <w:sz w:val="24"/>
        </w:rPr>
      </w:pPr>
      <w:r>
        <w:rPr>
          <w:rFonts w:hint="eastAsia" w:ascii="宋体" w:hAnsi="宋体" w:cs="宋体"/>
          <w:color w:val="000000"/>
          <w:sz w:val="24"/>
        </w:rPr>
        <w:t>9、实验室授权签字人的要求和考核；</w:t>
      </w:r>
    </w:p>
    <w:p>
      <w:pPr>
        <w:ind w:firstLine="480" w:firstLineChars="200"/>
        <w:rPr>
          <w:rFonts w:hint="eastAsia" w:ascii="宋体" w:hAnsi="宋体" w:cs="宋体"/>
          <w:color w:val="000000"/>
          <w:sz w:val="24"/>
        </w:rPr>
      </w:pPr>
      <w:r>
        <w:rPr>
          <w:rFonts w:hint="eastAsia" w:ascii="宋体" w:hAnsi="宋体" w:cs="宋体"/>
          <w:color w:val="000000"/>
          <w:sz w:val="24"/>
        </w:rPr>
        <w:t>10、实验室如何做仪器和标准物质期间核查；</w:t>
      </w:r>
    </w:p>
    <w:p>
      <w:pPr>
        <w:rPr>
          <w:rFonts w:hint="eastAsia" w:ascii="新宋体" w:hAnsi="新宋体" w:eastAsia="新宋体"/>
          <w:color w:val="000000"/>
          <w:sz w:val="24"/>
        </w:rPr>
      </w:pPr>
      <w:r>
        <w:rPr>
          <w:rFonts w:hint="eastAsia" w:ascii="新宋体" w:hAnsi="新宋体" w:eastAsia="新宋体"/>
          <w:color w:val="000000"/>
          <w:sz w:val="24"/>
        </w:rPr>
        <w:t>二、</w:t>
      </w:r>
      <w:r>
        <w:rPr>
          <w:rFonts w:hint="eastAsia" w:ascii="新宋体" w:hAnsi="新宋体" w:eastAsia="新宋体"/>
          <w:b/>
          <w:color w:val="000000"/>
          <w:sz w:val="24"/>
        </w:rPr>
        <w:t>培训对象：</w:t>
      </w:r>
    </w:p>
    <w:p>
      <w:pPr>
        <w:spacing w:line="400" w:lineRule="exact"/>
        <w:ind w:firstLine="480" w:firstLineChars="200"/>
        <w:rPr>
          <w:rFonts w:hint="eastAsia" w:ascii="新宋体" w:hAnsi="新宋体" w:eastAsia="新宋体" w:cs="华文仿宋"/>
          <w:bCs/>
          <w:sz w:val="24"/>
        </w:rPr>
      </w:pPr>
      <w:r>
        <w:rPr>
          <w:rFonts w:hint="eastAsia" w:ascii="新宋体" w:hAnsi="新宋体" w:eastAsia="新宋体" w:cs="华文仿宋"/>
          <w:bCs/>
          <w:sz w:val="24"/>
        </w:rPr>
        <w:t>各检验检测机构的内审员、授权签字人、质量主管、技术负责人及管理者代表；从事资质认定和实验室认可工作的相关技术和管理人员；各行业、各地区的企业实验室从事试验、检验检测技术和管理人员。</w:t>
      </w:r>
    </w:p>
    <w:p>
      <w:pPr>
        <w:rPr>
          <w:rFonts w:hint="eastAsia" w:ascii="新宋体" w:hAnsi="新宋体" w:eastAsia="新宋体"/>
          <w:b/>
          <w:color w:val="000000"/>
          <w:sz w:val="24"/>
        </w:rPr>
      </w:pPr>
      <w:r>
        <w:rPr>
          <w:rFonts w:hint="eastAsia" w:ascii="新宋体" w:hAnsi="新宋体" w:eastAsia="新宋体"/>
          <w:b/>
          <w:color w:val="000000"/>
          <w:sz w:val="24"/>
        </w:rPr>
        <w:t>时间与地点及收费标准</w:t>
      </w:r>
    </w:p>
    <w:p>
      <w:pPr>
        <w:ind w:firstLine="480" w:firstLineChars="200"/>
        <w:rPr>
          <w:rFonts w:hint="eastAsia" w:eastAsia="新宋体"/>
          <w:color w:val="000000"/>
          <w:sz w:val="24"/>
        </w:rPr>
      </w:pPr>
      <w:r>
        <w:rPr>
          <w:rFonts w:hint="eastAsia" w:eastAsia="新宋体"/>
          <w:color w:val="000000"/>
          <w:sz w:val="24"/>
        </w:rPr>
        <w:t>1、</w:t>
      </w:r>
      <w:r>
        <w:rPr>
          <w:rFonts w:hint="eastAsia" w:eastAsia="新宋体"/>
          <w:b/>
          <w:color w:val="000000"/>
          <w:sz w:val="24"/>
        </w:rPr>
        <w:t>A类：培训费1600元/人（含培训、场地、教材、单项证书费）组织8人免1人费用</w:t>
      </w:r>
      <w:r>
        <w:rPr>
          <w:rFonts w:hint="eastAsia" w:eastAsia="新宋体"/>
          <w:color w:val="000000"/>
          <w:sz w:val="24"/>
        </w:rPr>
        <w:t>，经培训考核合格后，由我院颁发</w:t>
      </w:r>
      <w:r>
        <w:rPr>
          <w:rFonts w:hint="eastAsia" w:ascii="新宋体" w:hAnsi="新宋体" w:eastAsia="新宋体"/>
          <w:color w:val="000000"/>
          <w:sz w:val="24"/>
        </w:rPr>
        <w:t>《内审员》或《监督员》资质证书二选一</w:t>
      </w:r>
      <w:r>
        <w:rPr>
          <w:rFonts w:hint="eastAsia" w:eastAsia="新宋体"/>
          <w:color w:val="000000"/>
          <w:sz w:val="24"/>
        </w:rPr>
        <w:t>。</w:t>
      </w:r>
      <w:r>
        <w:rPr>
          <w:rFonts w:hint="eastAsia" w:ascii="新宋体" w:hAnsi="新宋体" w:eastAsia="新宋体"/>
          <w:color w:val="000000"/>
          <w:sz w:val="24"/>
        </w:rPr>
        <w:t>此证书是检验检测机构资质认定或复评审必须持证上岗的基本条件之一。证书统一编号，并在网上公示。</w:t>
      </w:r>
    </w:p>
    <w:p>
      <w:pPr>
        <w:ind w:firstLine="480" w:firstLineChars="200"/>
        <w:rPr>
          <w:rFonts w:hint="eastAsia" w:eastAsia="新宋体"/>
          <w:color w:val="000000"/>
          <w:sz w:val="24"/>
        </w:rPr>
      </w:pPr>
      <w:r>
        <w:rPr>
          <w:rFonts w:hint="eastAsia" w:eastAsia="新宋体"/>
          <w:color w:val="000000"/>
          <w:sz w:val="24"/>
        </w:rPr>
        <w:t>2、</w:t>
      </w:r>
      <w:r>
        <w:rPr>
          <w:rFonts w:hint="eastAsia" w:eastAsia="新宋体"/>
          <w:b/>
          <w:color w:val="000000"/>
          <w:sz w:val="24"/>
        </w:rPr>
        <w:t>B类：培训费3100元/人（含培训、场地、教材、双项证书费）</w:t>
      </w:r>
      <w:r>
        <w:rPr>
          <w:rFonts w:hint="eastAsia" w:eastAsia="新宋体"/>
          <w:color w:val="000000"/>
          <w:sz w:val="24"/>
        </w:rPr>
        <w:t>，经培训考核合格后，颁发</w:t>
      </w:r>
      <w:r>
        <w:rPr>
          <w:rFonts w:hint="eastAsia" w:ascii="新宋体" w:hAnsi="新宋体" w:eastAsia="新宋体"/>
          <w:color w:val="000000"/>
          <w:sz w:val="24"/>
        </w:rPr>
        <w:t>《内审员》或《监督员》资质证书二选一</w:t>
      </w:r>
      <w:r>
        <w:rPr>
          <w:rFonts w:hint="eastAsia" w:eastAsia="新宋体"/>
          <w:color w:val="000000"/>
          <w:sz w:val="24"/>
        </w:rPr>
        <w:t>。并由全国职业信用评价网颁发高级</w:t>
      </w:r>
      <w:r>
        <w:rPr>
          <w:rFonts w:hint="eastAsia" w:ascii="新宋体" w:hAnsi="新宋体" w:eastAsia="新宋体"/>
          <w:b/>
          <w:color w:val="000000"/>
          <w:sz w:val="24"/>
        </w:rPr>
        <w:t>《</w:t>
      </w:r>
      <w:r>
        <w:rPr>
          <w:rFonts w:hint="eastAsia" w:ascii="新宋体" w:hAnsi="新宋体" w:eastAsia="新宋体" w:cs="华文仿宋"/>
          <w:b/>
          <w:bCs/>
          <w:sz w:val="24"/>
        </w:rPr>
        <w:t>实验室</w:t>
      </w:r>
      <w:r>
        <w:rPr>
          <w:rFonts w:hint="eastAsia" w:ascii="新宋体" w:hAnsi="新宋体" w:eastAsia="新宋体"/>
          <w:b/>
          <w:color w:val="000000"/>
          <w:sz w:val="24"/>
        </w:rPr>
        <w:t>工程师》</w:t>
      </w:r>
      <w:r>
        <w:rPr>
          <w:rFonts w:hint="eastAsia" w:eastAsia="新宋体"/>
          <w:color w:val="000000"/>
          <w:sz w:val="24"/>
        </w:rPr>
        <w:t>证书，此证书可以作为晋升、加薪、求职、评职称、法律公正的有效证件。同时，也可作为申请职业技能鉴定时，接受过相关职业资格培训的证明，是担任本岗位职务的依据。</w:t>
      </w:r>
    </w:p>
    <w:p>
      <w:pPr>
        <w:ind w:firstLine="482" w:firstLineChars="200"/>
        <w:rPr>
          <w:rFonts w:hint="eastAsia" w:eastAsia="新宋体"/>
          <w:b/>
          <w:color w:val="000000"/>
          <w:sz w:val="24"/>
        </w:rPr>
      </w:pPr>
      <w:r>
        <w:rPr>
          <w:rFonts w:hint="eastAsia" w:eastAsia="新宋体"/>
          <w:b/>
          <w:color w:val="000000"/>
          <w:sz w:val="24"/>
        </w:rPr>
        <w:t>备注</w:t>
      </w:r>
      <w:r>
        <w:rPr>
          <w:rFonts w:hint="eastAsia" w:eastAsia="新宋体"/>
          <w:color w:val="000000"/>
          <w:sz w:val="24"/>
        </w:rPr>
        <w:t>：</w:t>
      </w:r>
      <w:r>
        <w:rPr>
          <w:rFonts w:hint="eastAsia" w:eastAsia="新宋体"/>
          <w:b/>
          <w:color w:val="000000"/>
          <w:sz w:val="24"/>
        </w:rPr>
        <w:t>全国职业信用评价网是经国务院国资委、人社部、教育部三部门支持，中国人才交流协会中央机关人才分会、中国有色金属工业协会指导，中央财政投资，有色金属工业人才中心建设并运营的，政府所属国家级人力资源职业信用评价信息数据源平台。该网站即可一站查询人才职业生涯相关的职业、信用、评价等数据。</w:t>
      </w:r>
    </w:p>
    <w:p>
      <w:pPr>
        <w:ind w:firstLine="482" w:firstLineChars="200"/>
        <w:rPr>
          <w:rFonts w:hint="eastAsia" w:ascii="新宋体" w:hAnsi="新宋体" w:eastAsia="新宋体"/>
          <w:b/>
          <w:color w:val="FF0000"/>
          <w:sz w:val="24"/>
        </w:rPr>
      </w:pPr>
      <w:r>
        <w:rPr>
          <w:rFonts w:hint="eastAsia" w:eastAsia="新宋体"/>
          <w:b/>
          <w:bCs/>
          <w:color w:val="FF0000"/>
          <w:sz w:val="24"/>
        </w:rPr>
        <w:t>参会</w:t>
      </w:r>
      <w:r>
        <w:rPr>
          <w:rFonts w:hint="eastAsia" w:eastAsia="新宋体"/>
          <w:b/>
          <w:color w:val="FF0000"/>
          <w:sz w:val="24"/>
        </w:rPr>
        <w:t>单位可免费获得最</w:t>
      </w:r>
      <w:r>
        <w:rPr>
          <w:rFonts w:hint="eastAsia" w:ascii="新宋体" w:hAnsi="新宋体" w:eastAsia="新宋体"/>
          <w:b/>
          <w:color w:val="FF0000"/>
          <w:sz w:val="24"/>
        </w:rPr>
        <w:t>新版质量手册、程序文件模版一份。</w:t>
      </w:r>
    </w:p>
    <w:p>
      <w:pPr>
        <w:rPr>
          <w:rFonts w:hint="default" w:ascii="新宋体" w:hAnsi="新宋体" w:eastAsia="新宋体"/>
          <w:color w:val="000000"/>
          <w:sz w:val="24"/>
          <w:lang w:val="en-US" w:eastAsia="zh-CN"/>
        </w:rPr>
      </w:pPr>
      <w:r>
        <w:rPr>
          <w:rFonts w:hint="eastAsia" w:ascii="新宋体" w:hAnsi="新宋体" w:eastAsia="新宋体"/>
          <w:color w:val="000000"/>
          <w:sz w:val="24"/>
          <w:lang w:val="en-US" w:eastAsia="zh-CN"/>
        </w:rPr>
        <w:t>三、培训时间：8月17-18日</w:t>
      </w:r>
    </w:p>
    <w:p>
      <w:pPr>
        <w:rPr>
          <w:rFonts w:hint="eastAsia" w:ascii="新宋体" w:hAnsi="新宋体" w:eastAsia="新宋体"/>
          <w:color w:val="000000"/>
          <w:sz w:val="24"/>
        </w:rPr>
      </w:pPr>
      <w:r>
        <w:rPr>
          <w:rFonts w:hint="eastAsia" w:ascii="新宋体" w:hAnsi="新宋体" w:eastAsia="新宋体"/>
          <w:color w:val="000000"/>
          <w:sz w:val="24"/>
          <w:lang w:eastAsia="zh-CN"/>
        </w:rPr>
        <w:t>四</w:t>
      </w:r>
      <w:r>
        <w:rPr>
          <w:rFonts w:hint="eastAsia" w:ascii="新宋体" w:hAnsi="新宋体" w:eastAsia="新宋体"/>
          <w:color w:val="000000"/>
          <w:sz w:val="24"/>
        </w:rPr>
        <w:t>、</w:t>
      </w:r>
      <w:r>
        <w:rPr>
          <w:rFonts w:hint="eastAsia" w:ascii="新宋体" w:hAnsi="新宋体" w:eastAsia="新宋体"/>
          <w:b/>
          <w:color w:val="000000"/>
          <w:sz w:val="24"/>
        </w:rPr>
        <w:t>报名方式：</w:t>
      </w:r>
    </w:p>
    <w:p>
      <w:pPr>
        <w:rPr>
          <w:rFonts w:hint="eastAsia"/>
          <w:color w:val="auto"/>
          <w:sz w:val="23"/>
          <w:szCs w:val="23"/>
          <w:lang w:eastAsia="zh-CN"/>
        </w:rPr>
      </w:pPr>
      <w:r>
        <w:rPr>
          <w:rFonts w:hint="eastAsia"/>
          <w:color w:val="auto"/>
          <w:sz w:val="23"/>
          <w:szCs w:val="23"/>
        </w:rPr>
        <w:t>参会人员请将回执表填写完整发送至</w:t>
      </w:r>
      <w:r>
        <w:rPr>
          <w:rFonts w:hint="eastAsia"/>
          <w:color w:val="auto"/>
          <w:sz w:val="23"/>
          <w:szCs w:val="23"/>
          <w:lang w:eastAsia="zh-CN"/>
        </w:rPr>
        <w:t>邮箱。</w:t>
      </w:r>
    </w:p>
    <w:p>
      <w:pPr>
        <w:rPr>
          <w:rFonts w:hint="eastAsia"/>
          <w:color w:val="auto"/>
          <w:sz w:val="23"/>
          <w:szCs w:val="23"/>
          <w:lang w:eastAsia="zh-CN"/>
        </w:rPr>
      </w:pPr>
      <w:r>
        <w:rPr>
          <w:rFonts w:hint="eastAsia"/>
          <w:color w:val="auto"/>
          <w:sz w:val="23"/>
          <w:szCs w:val="23"/>
          <w:lang w:eastAsia="zh-CN"/>
        </w:rPr>
        <w:t>联系人：田宇欣</w:t>
      </w:r>
    </w:p>
    <w:p>
      <w:pPr>
        <w:rPr>
          <w:rFonts w:hint="eastAsia"/>
          <w:color w:val="auto"/>
          <w:sz w:val="23"/>
          <w:szCs w:val="23"/>
          <w:lang w:val="en-US" w:eastAsia="zh-CN"/>
        </w:rPr>
      </w:pPr>
      <w:r>
        <w:rPr>
          <w:rFonts w:hint="eastAsia"/>
          <w:color w:val="auto"/>
          <w:sz w:val="23"/>
          <w:szCs w:val="23"/>
          <w:lang w:eastAsia="zh-CN"/>
        </w:rPr>
        <w:t>联系方式：</w:t>
      </w:r>
      <w:r>
        <w:rPr>
          <w:rFonts w:hint="eastAsia"/>
          <w:color w:val="auto"/>
          <w:sz w:val="23"/>
          <w:szCs w:val="23"/>
          <w:lang w:val="en-US" w:eastAsia="zh-CN"/>
        </w:rPr>
        <w:t>13154375626</w:t>
      </w:r>
    </w:p>
    <w:p>
      <w:pPr>
        <w:rPr>
          <w:rFonts w:hint="eastAsia"/>
          <w:color w:val="auto"/>
          <w:sz w:val="23"/>
          <w:szCs w:val="23"/>
          <w:lang w:val="en-US" w:eastAsia="zh-CN"/>
        </w:rPr>
      </w:pPr>
      <w:r>
        <w:rPr>
          <w:rFonts w:hint="eastAsia"/>
          <w:color w:val="auto"/>
          <w:sz w:val="23"/>
          <w:szCs w:val="23"/>
          <w:lang w:val="en-US" w:eastAsia="zh-CN"/>
        </w:rPr>
        <w:t>邮箱：jlaepi@163.com</w:t>
      </w:r>
    </w:p>
    <w:p>
      <w:pPr>
        <w:bidi w:val="0"/>
        <w:rPr>
          <w:rFonts w:hint="default" w:ascii="Times New Roman" w:hAnsi="Times New Roman" w:eastAsia="宋体" w:cs="Times New Roman"/>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ind w:firstLine="361" w:firstLineChars="100"/>
        <w:jc w:val="center"/>
        <w:rPr>
          <w:rFonts w:eastAsia="新宋体"/>
          <w:b/>
          <w:color w:val="000000"/>
          <w:sz w:val="36"/>
          <w:szCs w:val="36"/>
        </w:rPr>
      </w:pPr>
      <w:bookmarkStart w:id="0" w:name="_GoBack"/>
      <w:r>
        <w:rPr>
          <w:rFonts w:hint="eastAsia" w:eastAsia="新宋体"/>
          <w:b/>
          <w:color w:val="000000"/>
          <w:sz w:val="36"/>
          <w:szCs w:val="36"/>
        </w:rPr>
        <w:t>培训班报名回执表</w:t>
      </w:r>
    </w:p>
    <w:bookmarkEnd w:id="0"/>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213"/>
        <w:gridCol w:w="3012"/>
        <w:gridCol w:w="3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2" w:type="dxa"/>
          </w:tcPr>
          <w:p>
            <w:pPr>
              <w:tabs>
                <w:tab w:val="left" w:pos="609"/>
              </w:tabs>
              <w:bidi w:val="0"/>
              <w:jc w:val="left"/>
              <w:rPr>
                <w:rFonts w:hint="default"/>
                <w:vertAlign w:val="baseline"/>
                <w:lang w:val="en-US" w:eastAsia="zh-CN"/>
              </w:rPr>
            </w:pPr>
            <w:r>
              <w:rPr>
                <w:rFonts w:hint="eastAsia"/>
                <w:vertAlign w:val="baseline"/>
                <w:lang w:val="en-US" w:eastAsia="zh-CN"/>
              </w:rPr>
              <w:t>单位名称</w:t>
            </w:r>
          </w:p>
        </w:tc>
        <w:tc>
          <w:tcPr>
            <w:tcW w:w="7330" w:type="dxa"/>
            <w:gridSpan w:val="3"/>
          </w:tcPr>
          <w:p>
            <w:pPr>
              <w:tabs>
                <w:tab w:val="left" w:pos="609"/>
              </w:tabs>
              <w:bidi w:val="0"/>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2" w:type="dxa"/>
          </w:tcPr>
          <w:p>
            <w:pPr>
              <w:tabs>
                <w:tab w:val="left" w:pos="609"/>
              </w:tabs>
              <w:bidi w:val="0"/>
              <w:jc w:val="left"/>
              <w:rPr>
                <w:rFonts w:hint="default"/>
                <w:vertAlign w:val="baseline"/>
                <w:lang w:val="en-US" w:eastAsia="zh-CN"/>
              </w:rPr>
            </w:pPr>
            <w:r>
              <w:rPr>
                <w:rFonts w:hint="eastAsia"/>
                <w:vertAlign w:val="baseline"/>
                <w:lang w:val="en-US" w:eastAsia="zh-CN"/>
              </w:rPr>
              <w:t>负责人</w:t>
            </w:r>
          </w:p>
        </w:tc>
        <w:tc>
          <w:tcPr>
            <w:tcW w:w="1213" w:type="dxa"/>
          </w:tcPr>
          <w:p>
            <w:pPr>
              <w:tabs>
                <w:tab w:val="left" w:pos="609"/>
              </w:tabs>
              <w:bidi w:val="0"/>
              <w:jc w:val="left"/>
              <w:rPr>
                <w:rFonts w:hint="default"/>
                <w:vertAlign w:val="baseline"/>
                <w:lang w:val="en-US" w:eastAsia="zh-CN"/>
              </w:rPr>
            </w:pPr>
          </w:p>
        </w:tc>
        <w:tc>
          <w:tcPr>
            <w:tcW w:w="3012" w:type="dxa"/>
          </w:tcPr>
          <w:p>
            <w:pPr>
              <w:tabs>
                <w:tab w:val="left" w:pos="609"/>
              </w:tabs>
              <w:bidi w:val="0"/>
              <w:jc w:val="left"/>
              <w:rPr>
                <w:rFonts w:hint="default"/>
                <w:vertAlign w:val="baseline"/>
                <w:lang w:val="en-US" w:eastAsia="zh-CN"/>
              </w:rPr>
            </w:pPr>
            <w:r>
              <w:rPr>
                <w:rFonts w:hint="eastAsia"/>
                <w:vertAlign w:val="baseline"/>
                <w:lang w:val="en-US" w:eastAsia="zh-CN"/>
              </w:rPr>
              <w:t>联系电话</w:t>
            </w:r>
          </w:p>
        </w:tc>
        <w:tc>
          <w:tcPr>
            <w:tcW w:w="3105" w:type="dxa"/>
          </w:tcPr>
          <w:p>
            <w:pPr>
              <w:tabs>
                <w:tab w:val="left" w:pos="609"/>
              </w:tabs>
              <w:bidi w:val="0"/>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2" w:type="dxa"/>
          </w:tcPr>
          <w:p>
            <w:pPr>
              <w:tabs>
                <w:tab w:val="left" w:pos="609"/>
              </w:tabs>
              <w:bidi w:val="0"/>
              <w:jc w:val="left"/>
              <w:rPr>
                <w:rFonts w:hint="default"/>
                <w:vertAlign w:val="baseline"/>
                <w:lang w:val="en-US" w:eastAsia="zh-CN"/>
              </w:rPr>
            </w:pPr>
            <w:r>
              <w:rPr>
                <w:rFonts w:hint="eastAsia"/>
                <w:vertAlign w:val="baseline"/>
                <w:lang w:val="en-US" w:eastAsia="zh-CN"/>
              </w:rPr>
              <w:t>参会人员</w:t>
            </w:r>
          </w:p>
        </w:tc>
        <w:tc>
          <w:tcPr>
            <w:tcW w:w="1213" w:type="dxa"/>
          </w:tcPr>
          <w:p>
            <w:pPr>
              <w:tabs>
                <w:tab w:val="left" w:pos="609"/>
              </w:tabs>
              <w:bidi w:val="0"/>
              <w:jc w:val="left"/>
              <w:rPr>
                <w:rFonts w:hint="default"/>
                <w:vertAlign w:val="baseline"/>
                <w:lang w:val="en-US" w:eastAsia="zh-CN"/>
              </w:rPr>
            </w:pPr>
            <w:r>
              <w:rPr>
                <w:rFonts w:hint="eastAsia"/>
                <w:vertAlign w:val="baseline"/>
                <w:lang w:val="en-US" w:eastAsia="zh-CN"/>
              </w:rPr>
              <w:t>联系方式</w:t>
            </w:r>
          </w:p>
        </w:tc>
        <w:tc>
          <w:tcPr>
            <w:tcW w:w="3012" w:type="dxa"/>
          </w:tcPr>
          <w:p>
            <w:pPr>
              <w:tabs>
                <w:tab w:val="left" w:pos="609"/>
              </w:tabs>
              <w:bidi w:val="0"/>
              <w:jc w:val="left"/>
              <w:rPr>
                <w:rFonts w:hint="eastAsia" w:eastAsia="新宋体"/>
                <w:vertAlign w:val="baseline"/>
                <w:lang w:val="en-US" w:eastAsia="zh-CN"/>
              </w:rPr>
            </w:pPr>
            <w:r>
              <w:rPr>
                <w:rFonts w:hint="eastAsia"/>
                <w:vertAlign w:val="baseline"/>
                <w:lang w:val="en-US" w:eastAsia="zh-CN"/>
              </w:rPr>
              <w:t>缴费标准（填写1600或3100）</w:t>
            </w:r>
          </w:p>
        </w:tc>
        <w:tc>
          <w:tcPr>
            <w:tcW w:w="3105" w:type="dxa"/>
          </w:tcPr>
          <w:p>
            <w:pPr>
              <w:tabs>
                <w:tab w:val="left" w:pos="609"/>
              </w:tabs>
              <w:bidi w:val="0"/>
              <w:jc w:val="left"/>
              <w:rPr>
                <w:rFonts w:hint="default"/>
                <w:vertAlign w:val="baseline"/>
                <w:lang w:val="en-US" w:eastAsia="zh-CN"/>
              </w:rPr>
            </w:pPr>
            <w:r>
              <w:rPr>
                <w:rFonts w:hint="eastAsia" w:eastAsia="新宋体"/>
                <w:color w:val="000000"/>
                <w:szCs w:val="21"/>
              </w:rPr>
              <w:t>交费类型</w:t>
            </w:r>
            <w:r>
              <w:rPr>
                <w:rFonts w:hint="eastAsia" w:eastAsia="新宋体"/>
                <w:color w:val="000000"/>
                <w:szCs w:val="21"/>
                <w:lang w:eastAsia="zh-CN"/>
              </w:rPr>
              <w:t>（填写</w:t>
            </w:r>
            <w:r>
              <w:rPr>
                <w:rFonts w:hint="eastAsia" w:eastAsia="新宋体"/>
                <w:color w:val="000000"/>
                <w:szCs w:val="21"/>
              </w:rPr>
              <w:t>内审员</w:t>
            </w:r>
            <w:r>
              <w:rPr>
                <w:rFonts w:hint="eastAsia" w:eastAsia="新宋体"/>
                <w:color w:val="000000"/>
                <w:szCs w:val="21"/>
                <w:lang w:eastAsia="zh-CN"/>
              </w:rPr>
              <w:t>或</w:t>
            </w:r>
            <w:r>
              <w:rPr>
                <w:rFonts w:hint="eastAsia" w:eastAsia="新宋体"/>
                <w:color w:val="000000"/>
                <w:szCs w:val="21"/>
              </w:rPr>
              <w:t>监督员</w:t>
            </w:r>
            <w:r>
              <w:rPr>
                <w:rFonts w:hint="eastAsia" w:eastAsia="新宋体"/>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2" w:type="dxa"/>
          </w:tcPr>
          <w:p>
            <w:pPr>
              <w:tabs>
                <w:tab w:val="left" w:pos="609"/>
              </w:tabs>
              <w:bidi w:val="0"/>
              <w:jc w:val="left"/>
              <w:rPr>
                <w:rFonts w:hint="default"/>
                <w:vertAlign w:val="baseline"/>
                <w:lang w:val="en-US" w:eastAsia="zh-CN"/>
              </w:rPr>
            </w:pPr>
            <w:r>
              <w:rPr>
                <w:rFonts w:hint="eastAsia"/>
                <w:vertAlign w:val="baseline"/>
                <w:lang w:val="en-US" w:eastAsia="zh-CN"/>
              </w:rPr>
              <w:t>1</w:t>
            </w:r>
          </w:p>
        </w:tc>
        <w:tc>
          <w:tcPr>
            <w:tcW w:w="1213" w:type="dxa"/>
          </w:tcPr>
          <w:p>
            <w:pPr>
              <w:tabs>
                <w:tab w:val="left" w:pos="609"/>
              </w:tabs>
              <w:bidi w:val="0"/>
              <w:jc w:val="left"/>
              <w:rPr>
                <w:rFonts w:hint="default"/>
                <w:vertAlign w:val="baseline"/>
                <w:lang w:val="en-US" w:eastAsia="zh-CN"/>
              </w:rPr>
            </w:pPr>
          </w:p>
        </w:tc>
        <w:tc>
          <w:tcPr>
            <w:tcW w:w="3012" w:type="dxa"/>
          </w:tcPr>
          <w:p>
            <w:pPr>
              <w:tabs>
                <w:tab w:val="left" w:pos="609"/>
              </w:tabs>
              <w:bidi w:val="0"/>
              <w:jc w:val="left"/>
              <w:rPr>
                <w:rFonts w:hint="default"/>
                <w:vertAlign w:val="baseline"/>
                <w:lang w:val="en-US" w:eastAsia="zh-CN"/>
              </w:rPr>
            </w:pPr>
          </w:p>
        </w:tc>
        <w:tc>
          <w:tcPr>
            <w:tcW w:w="3105" w:type="dxa"/>
          </w:tcPr>
          <w:p>
            <w:pPr>
              <w:tabs>
                <w:tab w:val="left" w:pos="609"/>
              </w:tabs>
              <w:bidi w:val="0"/>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2" w:type="dxa"/>
          </w:tcPr>
          <w:p>
            <w:pPr>
              <w:tabs>
                <w:tab w:val="left" w:pos="609"/>
              </w:tabs>
              <w:bidi w:val="0"/>
              <w:jc w:val="left"/>
              <w:rPr>
                <w:rFonts w:hint="default"/>
                <w:vertAlign w:val="baseline"/>
                <w:lang w:val="en-US" w:eastAsia="zh-CN"/>
              </w:rPr>
            </w:pPr>
            <w:r>
              <w:rPr>
                <w:rFonts w:hint="eastAsia"/>
                <w:vertAlign w:val="baseline"/>
                <w:lang w:val="en-US" w:eastAsia="zh-CN"/>
              </w:rPr>
              <w:t>2</w:t>
            </w:r>
          </w:p>
        </w:tc>
        <w:tc>
          <w:tcPr>
            <w:tcW w:w="1213" w:type="dxa"/>
          </w:tcPr>
          <w:p>
            <w:pPr>
              <w:tabs>
                <w:tab w:val="left" w:pos="609"/>
              </w:tabs>
              <w:bidi w:val="0"/>
              <w:jc w:val="left"/>
              <w:rPr>
                <w:rFonts w:hint="default"/>
                <w:vertAlign w:val="baseline"/>
                <w:lang w:val="en-US" w:eastAsia="zh-CN"/>
              </w:rPr>
            </w:pPr>
          </w:p>
        </w:tc>
        <w:tc>
          <w:tcPr>
            <w:tcW w:w="3012" w:type="dxa"/>
          </w:tcPr>
          <w:p>
            <w:pPr>
              <w:tabs>
                <w:tab w:val="left" w:pos="609"/>
              </w:tabs>
              <w:bidi w:val="0"/>
              <w:jc w:val="left"/>
              <w:rPr>
                <w:rFonts w:hint="default"/>
                <w:vertAlign w:val="baseline"/>
                <w:lang w:val="en-US" w:eastAsia="zh-CN"/>
              </w:rPr>
            </w:pPr>
          </w:p>
        </w:tc>
        <w:tc>
          <w:tcPr>
            <w:tcW w:w="3105" w:type="dxa"/>
          </w:tcPr>
          <w:p>
            <w:pPr>
              <w:tabs>
                <w:tab w:val="left" w:pos="609"/>
              </w:tabs>
              <w:bidi w:val="0"/>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2" w:type="dxa"/>
          </w:tcPr>
          <w:p>
            <w:pPr>
              <w:tabs>
                <w:tab w:val="left" w:pos="609"/>
              </w:tabs>
              <w:bidi w:val="0"/>
              <w:jc w:val="left"/>
              <w:rPr>
                <w:rFonts w:hint="eastAsia"/>
                <w:vertAlign w:val="baseline"/>
                <w:lang w:val="en-US" w:eastAsia="zh-CN"/>
              </w:rPr>
            </w:pPr>
            <w:r>
              <w:rPr>
                <w:rFonts w:hint="eastAsia"/>
                <w:vertAlign w:val="baseline"/>
                <w:lang w:val="en-US" w:eastAsia="zh-CN"/>
              </w:rPr>
              <w:t>…</w:t>
            </w:r>
          </w:p>
        </w:tc>
        <w:tc>
          <w:tcPr>
            <w:tcW w:w="1213" w:type="dxa"/>
          </w:tcPr>
          <w:p>
            <w:pPr>
              <w:tabs>
                <w:tab w:val="left" w:pos="609"/>
              </w:tabs>
              <w:bidi w:val="0"/>
              <w:jc w:val="left"/>
              <w:rPr>
                <w:rFonts w:hint="default"/>
                <w:vertAlign w:val="baseline"/>
                <w:lang w:val="en-US" w:eastAsia="zh-CN"/>
              </w:rPr>
            </w:pPr>
          </w:p>
        </w:tc>
        <w:tc>
          <w:tcPr>
            <w:tcW w:w="3012" w:type="dxa"/>
          </w:tcPr>
          <w:p>
            <w:pPr>
              <w:tabs>
                <w:tab w:val="left" w:pos="609"/>
              </w:tabs>
              <w:bidi w:val="0"/>
              <w:jc w:val="left"/>
              <w:rPr>
                <w:rFonts w:hint="default"/>
                <w:vertAlign w:val="baseline"/>
                <w:lang w:val="en-US" w:eastAsia="zh-CN"/>
              </w:rPr>
            </w:pPr>
          </w:p>
        </w:tc>
        <w:tc>
          <w:tcPr>
            <w:tcW w:w="3105" w:type="dxa"/>
          </w:tcPr>
          <w:p>
            <w:pPr>
              <w:tabs>
                <w:tab w:val="left" w:pos="609"/>
              </w:tabs>
              <w:bidi w:val="0"/>
              <w:jc w:val="left"/>
              <w:rPr>
                <w:rFonts w:hint="default"/>
                <w:vertAlign w:val="baseline"/>
                <w:lang w:val="en-US" w:eastAsia="zh-CN"/>
              </w:rPr>
            </w:pPr>
          </w:p>
        </w:tc>
      </w:tr>
    </w:tbl>
    <w:p>
      <w:pPr>
        <w:tabs>
          <w:tab w:val="left" w:pos="609"/>
        </w:tabs>
        <w:bidi w:val="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37DBC"/>
    <w:rsid w:val="40E55191"/>
    <w:rsid w:val="7AD37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2019-08-01T00:49:00Z</dcterms:created>
  <dc:creator>tt</dc:creator>
  <cp:lastModifiedBy>tt</cp:lastModifiedBy>
  <dcterms:modified xsi:type="dcterms:W3CDTF">2019-08-01T01:30:30Z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