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附件2：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东北区域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重点环境保护实用技术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申报表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31" w:firstLineChars="309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技术名称：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31" w:firstLineChars="309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技术依托单位：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31" w:firstLineChars="309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填报日期：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31" w:firstLineChars="309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共同持有单位（1）：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31" w:firstLineChars="309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共同持有单位（2）：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bookmarkStart w:id="0" w:name="_GoBack"/>
      <w:bookmarkEnd w:id="0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 w:val="0"/>
          <w:bCs/>
          <w:spacing w:val="51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pacing w:val="34"/>
          <w:kern w:val="0"/>
          <w:sz w:val="30"/>
          <w:szCs w:val="30"/>
          <w:fitText w:val="4350" w:id="1968775804"/>
          <w:lang w:val="en-US" w:eastAsia="zh-CN"/>
        </w:rPr>
        <w:t>黑龙江省环境保护产业协</w:t>
      </w:r>
      <w:r>
        <w:rPr>
          <w:rFonts w:hint="eastAsia" w:ascii="华文中宋" w:hAnsi="华文中宋" w:eastAsia="华文中宋" w:cs="华文中宋"/>
          <w:b w:val="0"/>
          <w:bCs/>
          <w:spacing w:val="1"/>
          <w:kern w:val="0"/>
          <w:sz w:val="30"/>
          <w:szCs w:val="30"/>
          <w:fitText w:val="4350" w:id="1968775804"/>
          <w:lang w:val="en-US" w:eastAsia="zh-CN"/>
        </w:rPr>
        <w:t>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 w:val="0"/>
          <w:bCs/>
          <w:spacing w:val="51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pacing w:val="51"/>
          <w:sz w:val="30"/>
          <w:szCs w:val="30"/>
          <w:lang w:val="en-US" w:eastAsia="zh-CN"/>
        </w:rPr>
        <w:t>吉林省环境保护产业协会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 w:val="0"/>
          <w:bCs/>
          <w:spacing w:val="51"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/>
          <w:spacing w:val="51"/>
          <w:sz w:val="30"/>
          <w:szCs w:val="30"/>
          <w:lang w:val="en-US" w:eastAsia="zh-CN"/>
        </w:rPr>
        <w:t>辽宁省环境保护产业协会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 w:val="0"/>
          <w:bCs/>
          <w:spacing w:val="6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pacing w:val="6"/>
          <w:sz w:val="30"/>
          <w:szCs w:val="30"/>
          <w:lang w:val="en-US" w:eastAsia="zh-CN"/>
        </w:rPr>
        <w:t>内蒙古自治区环境保护产业协会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联合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印制</w:t>
      </w:r>
      <w:r>
        <w:rPr>
          <w:rFonts w:hint="eastAsia" w:ascii="仿宋" w:hAnsi="仿宋" w:eastAsia="仿宋" w:cs="仿宋"/>
          <w:b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基本情况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项目基本情况</w:t>
      </w:r>
    </w:p>
    <w:tbl>
      <w:tblPr>
        <w:tblStyle w:val="5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20"/>
        <w:gridCol w:w="1520"/>
        <w:gridCol w:w="1379"/>
        <w:gridCol w:w="1660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04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08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040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技术依托单位</w:t>
            </w:r>
          </w:p>
        </w:tc>
        <w:tc>
          <w:tcPr>
            <w:tcW w:w="608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3040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8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3040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8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04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项目来源</w:t>
            </w:r>
          </w:p>
        </w:tc>
        <w:tc>
          <w:tcPr>
            <w:tcW w:w="608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04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技术水平</w:t>
            </w:r>
          </w:p>
        </w:tc>
        <w:tc>
          <w:tcPr>
            <w:tcW w:w="608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04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研制起止日期</w:t>
            </w:r>
          </w:p>
        </w:tc>
        <w:tc>
          <w:tcPr>
            <w:tcW w:w="608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304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技术应用于生产的时间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连续正常运行时间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2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申请号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申请日期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授权号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专利属性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</w:trPr>
        <w:tc>
          <w:tcPr>
            <w:tcW w:w="304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其他知识产权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证明文件</w:t>
            </w:r>
          </w:p>
        </w:tc>
        <w:tc>
          <w:tcPr>
            <w:tcW w:w="608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2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获奖情况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4559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奖励名称及等级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040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已列入的其他国家或省（部）级推广计划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计划名称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计划管理部门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040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3040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技术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依托单位基本情况</w:t>
      </w:r>
    </w:p>
    <w:tbl>
      <w:tblPr>
        <w:tblStyle w:val="5"/>
        <w:tblW w:w="8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615"/>
        <w:gridCol w:w="747"/>
        <w:gridCol w:w="1871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6708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年产值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注册时间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注册资金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职工总数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工程技术人员数量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8657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技术依托单位实施推广能力及方式（包括承担设计、组织实施、技术配套、售后服务等）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共同持有单位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代表人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6708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年产值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注册时间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注册资金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职工总数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工程技术人员数量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8657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技术依托单位实施推广能力及方式（包括承担设计、组织实施、技术配套、售后服务等）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项目可行性分析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项目简介（基本原理、工艺路线、技术关键及推广背景）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3" w:hRule="atLeast"/>
        </w:trPr>
        <w:tc>
          <w:tcPr>
            <w:tcW w:w="90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项目指标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技术指标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90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经济指标（使用方典型规模）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080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总投资</w:t>
            </w:r>
          </w:p>
        </w:tc>
        <w:tc>
          <w:tcPr>
            <w:tcW w:w="20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万元  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其中：设备投资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运行费用</w:t>
            </w:r>
          </w:p>
        </w:tc>
        <w:tc>
          <w:tcPr>
            <w:tcW w:w="20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万元/年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综合经济效益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万元/年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直接经济净效益</w:t>
            </w:r>
          </w:p>
        </w:tc>
        <w:tc>
          <w:tcPr>
            <w:tcW w:w="208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万元 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投资回收年限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680" w:firstLineChars="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其他经济效益说明：</w:t>
            </w:r>
          </w:p>
        </w:tc>
        <w:tc>
          <w:tcPr>
            <w:tcW w:w="6610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环境指标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1508"/>
        <w:gridCol w:w="1508"/>
        <w:gridCol w:w="1508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削减主要污染物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应用前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应用后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削减率（%）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8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其他环境效益：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8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8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8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8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达到哪一污染物排放标准（标准编号、类别、等级）：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038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国内外同类技术比较（技术、经济、环境、管理等方面）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3" w:hRule="atLeast"/>
        </w:trPr>
        <w:tc>
          <w:tcPr>
            <w:tcW w:w="90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50" w:after="240" w:afterLines="50"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三、应用实例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755"/>
        <w:gridCol w:w="755"/>
        <w:gridCol w:w="1510"/>
        <w:gridCol w:w="1510"/>
        <w:gridCol w:w="755"/>
        <w:gridCol w:w="75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应用单位工程名称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应用单位地址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51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设计单位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主体设备制造单位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施工单位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设计处理能力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实际处理能力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占地面积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投入运行时间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正常生产运行时间</w:t>
            </w:r>
          </w:p>
        </w:tc>
        <w:tc>
          <w:tcPr>
            <w:tcW w:w="2265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削减主要污染物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污染物名称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应用前含量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应用后含量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去除率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年平均达标率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应用规模</w:t>
            </w:r>
          </w:p>
        </w:tc>
        <w:tc>
          <w:tcPr>
            <w:tcW w:w="4530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一次性投资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其中设备投资</w:t>
            </w:r>
          </w:p>
        </w:tc>
        <w:tc>
          <w:tcPr>
            <w:tcW w:w="2265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运行成本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综合经济效益</w:t>
            </w:r>
          </w:p>
        </w:tc>
        <w:tc>
          <w:tcPr>
            <w:tcW w:w="2265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直接经济效益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投资回收年限</w:t>
            </w:r>
          </w:p>
        </w:tc>
        <w:tc>
          <w:tcPr>
            <w:tcW w:w="2265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年平均运行天数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维修工作量</w:t>
            </w:r>
          </w:p>
        </w:tc>
        <w:tc>
          <w:tcPr>
            <w:tcW w:w="2265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（工作日/年）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3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是否达到劳动保护要求</w:t>
            </w:r>
          </w:p>
        </w:tc>
        <w:tc>
          <w:tcPr>
            <w:tcW w:w="4530" w:type="dxa"/>
            <w:gridSpan w:val="4"/>
            <w:noWrap w:val="0"/>
            <w:vAlign w:val="center"/>
          </w:tcPr>
          <w:p>
            <w:pPr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      2.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530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自动化要求</w:t>
            </w:r>
          </w:p>
        </w:tc>
        <w:tc>
          <w:tcPr>
            <w:tcW w:w="4530" w:type="dxa"/>
            <w:gridSpan w:val="4"/>
            <w:noWrap w:val="0"/>
            <w:vAlign w:val="center"/>
          </w:tcPr>
          <w:p>
            <w:pPr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自动化   2. 半自动化   3. 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其他主要技术经济指标：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用户对本项技术综合评价意见：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本项技术存在的主要问题及有待改进的地方：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四、</w:t>
      </w:r>
      <w:r>
        <w:rPr>
          <w:rFonts w:hint="eastAsia" w:ascii="仿宋" w:hAnsi="仿宋" w:eastAsia="仿宋" w:cs="仿宋"/>
          <w:b/>
          <w:sz w:val="36"/>
          <w:szCs w:val="36"/>
        </w:rPr>
        <w:t>申报材料真实性声明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向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协会</w:t>
      </w:r>
      <w:r>
        <w:rPr>
          <w:rFonts w:hint="eastAsia" w:ascii="仿宋" w:hAnsi="仿宋" w:eastAsia="仿宋" w:cs="仿宋"/>
          <w:sz w:val="30"/>
          <w:szCs w:val="30"/>
        </w:rPr>
        <w:t>提交的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东北区域重点</w:t>
      </w:r>
      <w:r>
        <w:rPr>
          <w:rFonts w:hint="eastAsia" w:ascii="仿宋" w:hAnsi="仿宋" w:eastAsia="仿宋" w:cs="仿宋"/>
          <w:sz w:val="30"/>
          <w:szCs w:val="30"/>
        </w:rPr>
        <w:t>环境保护实用技术申报材料及所附资料均真实、合法。如有不实之处，我单位愿负相应的法律责任，并承担由此产生的一切后果。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法定代表人（签字）: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申报单位（盖章）: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日期：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A6C7C"/>
    <w:multiLevelType w:val="singleLevel"/>
    <w:tmpl w:val="96FA6C7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A0850F1"/>
    <w:multiLevelType w:val="singleLevel"/>
    <w:tmpl w:val="DA0850F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B8FFCEB"/>
    <w:multiLevelType w:val="singleLevel"/>
    <w:tmpl w:val="FB8FFCEB"/>
    <w:lvl w:ilvl="0" w:tentative="0">
      <w:start w:val="1"/>
      <w:numFmt w:val="decimal"/>
      <w:suff w:val="nothing"/>
      <w:lvlText w:val="%1、"/>
      <w:lvlJc w:val="left"/>
      <w:pPr>
        <w:ind w:left="700" w:firstLine="0"/>
      </w:pPr>
    </w:lvl>
  </w:abstractNum>
  <w:abstractNum w:abstractNumId="3">
    <w:nsid w:val="53D9626F"/>
    <w:multiLevelType w:val="singleLevel"/>
    <w:tmpl w:val="53D9626F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</w:abstractNum>
  <w:abstractNum w:abstractNumId="4">
    <w:nsid w:val="56ADFDDF"/>
    <w:multiLevelType w:val="singleLevel"/>
    <w:tmpl w:val="56ADFD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BBD30DC"/>
    <w:multiLevelType w:val="singleLevel"/>
    <w:tmpl w:val="7BBD30DC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OTYwOTMzNGU3MjRjYzc1NzM0OTNhZGE4YzQxMzMifQ=="/>
  </w:docVars>
  <w:rsids>
    <w:rsidRoot w:val="13CA4DD5"/>
    <w:rsid w:val="00EC22F8"/>
    <w:rsid w:val="0A195D40"/>
    <w:rsid w:val="13CA4DD5"/>
    <w:rsid w:val="3B4E68E2"/>
    <w:rsid w:val="6F577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宋体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ascii="Calibri" w:hAnsi="Calibri"/>
      <w:sz w:val="30"/>
    </w:rPr>
  </w:style>
  <w:style w:type="paragraph" w:styleId="4">
    <w:name w:val="Date"/>
    <w:basedOn w:val="1"/>
    <w:next w:val="1"/>
    <w:qFormat/>
    <w:uiPriority w:val="0"/>
    <w:rPr>
      <w:rFonts w:ascii="宋体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996</Words>
  <Characters>999</Characters>
  <Lines>0</Lines>
  <Paragraphs>0</Paragraphs>
  <TotalTime>14</TotalTime>
  <ScaleCrop>false</ScaleCrop>
  <LinksUpToDate>false</LinksUpToDate>
  <CharactersWithSpaces>1202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2022-06-15T06:45:00Z</dcterms:created>
  <dc:creator>毕小姐</dc:creator>
  <cp:lastModifiedBy>睡着的水</cp:lastModifiedBy>
  <dcterms:modified xsi:type="dcterms:W3CDTF">2022-06-16T01:43:38Z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7020972F4256422D808AC66B3BC781F8</vt:lpwstr>
  </property>
</Properties>
</file>